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90D" w:rsidRDefault="00000000">
      <w:pPr>
        <w:pStyle w:val="Standard"/>
        <w:ind w:right="5"/>
        <w:jc w:val="right"/>
        <w:outlineLvl w:val="0"/>
        <w:rPr>
          <w:rFonts w:hint="eastAsia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-244602</wp:posOffset>
            </wp:positionH>
            <wp:positionV relativeFrom="paragraph">
              <wp:posOffset>484</wp:posOffset>
            </wp:positionV>
            <wp:extent cx="1153076" cy="1463040"/>
            <wp:effectExtent l="0" t="0" r="8974" b="3810"/>
            <wp:wrapSquare wrapText="bothSides"/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076" cy="1463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imes New Roman"/>
          <w:lang w:val="uk-UA"/>
        </w:rPr>
        <w:t xml:space="preserve">  </w:t>
      </w:r>
      <w:r>
        <w:rPr>
          <w:rFonts w:ascii="Times New Roman" w:eastAsia="Lucida Sans Unicode" w:hAnsi="Times New Roman" w:cs="Times New Roman"/>
          <w:b/>
          <w:bCs/>
          <w:sz w:val="26"/>
          <w:szCs w:val="26"/>
          <w:lang w:val="uk-UA"/>
        </w:rPr>
        <w:t xml:space="preserve">   </w:t>
      </w:r>
      <w:r>
        <w:rPr>
          <w:rFonts w:ascii="Times New Roman" w:eastAsia="Lucida Sans Unicode" w:hAnsi="Times New Roman" w:cs="Times New Roman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lang w:val="uk-UA"/>
        </w:rPr>
        <w:t xml:space="preserve">ШИФР ПОСЛУГИ </w:t>
      </w:r>
      <w:r>
        <w:rPr>
          <w:rFonts w:ascii="Times New Roman" w:eastAsia="Lucida Sans Unicode" w:hAnsi="Times New Roman" w:cs="Times New Roman"/>
          <w:b/>
          <w:bCs/>
        </w:rPr>
        <w:t>07-31</w:t>
      </w:r>
    </w:p>
    <w:p w:rsidR="0070090D" w:rsidRDefault="0070090D">
      <w:pPr>
        <w:pStyle w:val="Standard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0090D" w:rsidRDefault="0070090D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0090D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ІНФОРМАЦІЙНА КАРТКА</w:t>
      </w:r>
    </w:p>
    <w:p w:rsidR="0070090D" w:rsidRDefault="00000000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адміністративної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послуги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видачі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містяться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реєстраційній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справі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особи,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має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статусу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особи,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особи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підприємця</w:t>
      </w:r>
      <w:proofErr w:type="spellEnd"/>
    </w:p>
    <w:p w:rsidR="0070090D" w:rsidRDefault="0070090D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0090D" w:rsidRDefault="00000000">
      <w:pPr>
        <w:pStyle w:val="Standard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Центр надання адміністративних послуг”</w:t>
      </w:r>
    </w:p>
    <w:p w:rsidR="0070090D" w:rsidRDefault="00000000">
      <w:pPr>
        <w:pStyle w:val="Standard"/>
        <w:ind w:right="5"/>
        <w:jc w:val="center"/>
        <w:outlineLvl w:val="0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сектор державної реєстрації</w:t>
      </w:r>
    </w:p>
    <w:tbl>
      <w:tblPr>
        <w:tblW w:w="10545" w:type="dxa"/>
        <w:tblInd w:w="-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099"/>
        <w:gridCol w:w="66"/>
        <w:gridCol w:w="6888"/>
      </w:tblGrid>
      <w:tr w:rsidR="0070090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послуги</w:t>
            </w:r>
            <w:proofErr w:type="spellEnd"/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Місцезнаходження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35600, Рівненська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м.Дубно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вул.Замкова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режиму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Понеділок: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Вівторок: з 08.00 до 17.00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Середа: з 08.00 до 20.00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Четвер: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П’ятниця: з 08.00 до 16.00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Субота: з 08.00 до 15.00 (без перерви на обід)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br/>
              <w:t xml:space="preserve"> Неділя: вихідний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Телефон/факс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довідки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), адреса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пошти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веб-сайт</w:t>
            </w:r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Тел. (03</w:t>
            </w:r>
            <w:r>
              <w:rPr>
                <w:rFonts w:ascii="Times New Roman" w:hAnsi="Times New Roman" w:cs="Times New Roman"/>
                <w:lang w:val="uk-UA"/>
              </w:rPr>
              <w:t>656</w:t>
            </w:r>
            <w:r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90, 3-21-74, 068-3960308</w:t>
            </w:r>
          </w:p>
          <w:p w:rsidR="0070090D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lang w:val="ru-RU"/>
              </w:rPr>
              <w:t xml:space="preserve">ради: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dubno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rv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proofErr w:type="spellEnd"/>
          </w:p>
          <w:p w:rsidR="0070090D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hyperlink r:id="rId7" w:history="1">
              <w:r>
                <w:t>cnap</w:t>
              </w:r>
              <w:r>
                <w:rPr>
                  <w:lang w:val="ru-RU"/>
                </w:rPr>
                <w:t>@</w:t>
              </w:r>
              <w:r>
                <w:t>dubno</w:t>
              </w:r>
              <w:r>
                <w:rPr>
                  <w:lang w:val="ru-RU"/>
                </w:rPr>
                <w:t>-</w:t>
              </w:r>
              <w:r>
                <w:t>adm</w:t>
              </w:r>
              <w:r>
                <w:rPr>
                  <w:lang w:val="ru-RU"/>
                </w:rPr>
                <w:t>.</w:t>
              </w:r>
              <w:r>
                <w:t>rv</w:t>
              </w:r>
              <w:r>
                <w:rPr>
                  <w:lang w:val="ru-RU"/>
                </w:rPr>
                <w:t>.</w:t>
              </w:r>
              <w:proofErr w:type="spellStart"/>
              <w:r>
                <w:t>ua</w:t>
              </w:r>
              <w:proofErr w:type="spellEnd"/>
            </w:hyperlink>
          </w:p>
          <w:p w:rsidR="0070090D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 Веб-сайт: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www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dubno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rv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ua</w:t>
            </w:r>
            <w:proofErr w:type="spellEnd"/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Нормативні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регламентується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послуги</w:t>
            </w:r>
            <w:proofErr w:type="spellEnd"/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5" w:type="dxa"/>
            <w:gridSpan w:val="2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6888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Міністрів</w:t>
            </w:r>
            <w:proofErr w:type="spellEnd"/>
          </w:p>
        </w:tc>
        <w:tc>
          <w:tcPr>
            <w:tcW w:w="6888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Постанова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04.12.2019 № 1137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вебпорталу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центральних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</w:p>
        </w:tc>
        <w:tc>
          <w:tcPr>
            <w:tcW w:w="6888" w:type="dxa"/>
            <w:tcBorders>
              <w:top w:val="single" w:sz="4" w:space="0" w:color="00000A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ind w:left="1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Наказ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10.06.2016 № 1657/5 «Про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Міністерстві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10.06.2016 за № 839/28969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4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FFFF00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Підстава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Запит </w:t>
            </w:r>
            <w:proofErr w:type="spellStart"/>
            <w:r>
              <w:rPr>
                <w:lang w:val="ru-RU"/>
              </w:rPr>
              <w:t>фізичної</w:t>
            </w:r>
            <w:proofErr w:type="spellEnd"/>
            <w:r>
              <w:rPr>
                <w:lang w:val="ru-RU"/>
              </w:rPr>
              <w:t xml:space="preserve"> особи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юридичної</w:t>
            </w:r>
            <w:proofErr w:type="spellEnd"/>
            <w:r>
              <w:rPr>
                <w:lang w:val="ru-RU"/>
              </w:rPr>
              <w:t xml:space="preserve"> особи,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бажають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витяг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Єдиного</w:t>
            </w:r>
            <w:proofErr w:type="spellEnd"/>
            <w:r>
              <w:rPr>
                <w:lang w:val="ru-RU"/>
              </w:rPr>
              <w:t xml:space="preserve">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юридичних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фізичних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підприємців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формувань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уповноваженої</w:t>
            </w:r>
            <w:proofErr w:type="spellEnd"/>
            <w:r>
              <w:rPr>
                <w:lang w:val="ru-RU"/>
              </w:rPr>
              <w:t xml:space="preserve"> особи (</w:t>
            </w:r>
            <w:proofErr w:type="spellStart"/>
            <w:r>
              <w:rPr>
                <w:lang w:val="ru-RU"/>
              </w:rPr>
              <w:t>далі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заявник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Вичерпний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перелік</w:t>
            </w:r>
            <w:proofErr w:type="spellEnd"/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</w:t>
            </w:r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Запит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реєстраційній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справі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відповідної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статусу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підприємця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підтверджує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плати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відповідних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відомостей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запиту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заявник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пред’являє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паспорт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громадянина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інший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передбачений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Єдиний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демографічний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реєстр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підтверджують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громадянство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посвідчують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». 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заявником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іноземець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громадянства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є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національний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дипломатичний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службовий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паспорт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іноземця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інший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іноземця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громадянства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представником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додатково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примірник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оригіналу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нотаріально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засвідчує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випадку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повноваження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цього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1.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запит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заявником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. 2.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запит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зазначений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забезпечує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, – через портал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сервісів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*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адміністративної</w:t>
            </w:r>
            <w:proofErr w:type="spellEnd"/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одержання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реєстраційній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відповідної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підприємця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паперовій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справляється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плата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розмірі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0,07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прожиткового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мінімуму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працездатних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одержання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реєстраційній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відповідної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підприємця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електронній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справляється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плата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розмірі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плати,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встановленої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реєстраційній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відповідної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особи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підприємця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паперовій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Плата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справляється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відповідному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розмірі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прожиткового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мінімуму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працездатних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встановленому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законом на 01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календарного року,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запит про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містяться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реєстраційній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справі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округлюється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найближчих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 гривень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492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99" w:type="dxa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надання</w:t>
            </w:r>
            <w:proofErr w:type="spellEnd"/>
          </w:p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6954" w:type="dxa"/>
            <w:gridSpan w:val="2"/>
            <w:tcBorders>
              <w:top w:val="outset" w:sz="18" w:space="0" w:color="000001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24 годин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після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запиту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вихідних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святкових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днів</w:t>
            </w:r>
            <w:proofErr w:type="spellEnd"/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Не подано документ,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підтверджує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внесення</w:t>
            </w:r>
            <w:proofErr w:type="spellEnd"/>
            <w:r>
              <w:rPr>
                <w:lang w:val="ru-RU"/>
              </w:rPr>
              <w:t xml:space="preserve"> плати за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плата внесена не в </w:t>
            </w:r>
            <w:proofErr w:type="spellStart"/>
            <w:r>
              <w:rPr>
                <w:lang w:val="ru-RU"/>
              </w:rPr>
              <w:t>повному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обсязі</w:t>
            </w:r>
            <w:proofErr w:type="spellEnd"/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послуги</w:t>
            </w:r>
            <w:proofErr w:type="spellEnd"/>
          </w:p>
          <w:p w:rsidR="0070090D" w:rsidRDefault="0070090D">
            <w:pPr>
              <w:pStyle w:val="Standard"/>
              <w:rPr>
                <w:rFonts w:hint="eastAsia"/>
              </w:rPr>
            </w:pP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ind w:left="22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реєстраційній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справі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статусу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0090D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492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9" w:type="dxa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</w:tcPr>
          <w:p w:rsidR="0070090D" w:rsidRDefault="0000000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результату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outset" w:sz="18" w:space="0" w:color="000001"/>
              <w:bottom w:val="single" w:sz="4" w:space="0" w:color="00000A"/>
              <w:right w:val="outset" w:sz="18" w:space="0" w:color="000001"/>
            </w:tcBorders>
            <w:shd w:val="clear" w:color="auto" w:fill="auto"/>
            <w:tcMar>
              <w:top w:w="60" w:type="dxa"/>
              <w:left w:w="73" w:type="dxa"/>
              <w:bottom w:w="60" w:type="dxa"/>
              <w:right w:w="60" w:type="dxa"/>
            </w:tcMar>
            <w:vAlign w:val="center"/>
          </w:tcPr>
          <w:p w:rsidR="0070090D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самий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подано запит</w:t>
            </w:r>
          </w:p>
        </w:tc>
      </w:tr>
    </w:tbl>
    <w:p w:rsidR="0070090D" w:rsidRDefault="00000000">
      <w:pPr>
        <w:pStyle w:val="Standard"/>
        <w:rPr>
          <w:rFonts w:hint="eastAsia"/>
        </w:rPr>
      </w:pPr>
      <w:r>
        <w:rPr>
          <w:lang w:val="ru-RU"/>
        </w:rPr>
        <w:t xml:space="preserve">*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доопрацювання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Єдиного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вебпорталу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буде </w:t>
      </w:r>
      <w:proofErr w:type="spellStart"/>
      <w:r>
        <w:rPr>
          <w:lang w:val="ru-RU"/>
        </w:rPr>
        <w:t>забезпечувати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подання</w:t>
      </w:r>
      <w:proofErr w:type="spellEnd"/>
      <w:r>
        <w:rPr>
          <w:lang w:val="ru-RU"/>
        </w:rPr>
        <w:t xml:space="preserve"> таких </w:t>
      </w:r>
      <w:proofErr w:type="spellStart"/>
      <w:r>
        <w:rPr>
          <w:lang w:val="ru-RU"/>
        </w:rPr>
        <w:t>документів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електронній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формі</w:t>
      </w:r>
      <w:proofErr w:type="spellEnd"/>
    </w:p>
    <w:sectPr w:rsidR="0070090D">
      <w:pgSz w:w="12240" w:h="15840"/>
      <w:pgMar w:top="1134" w:right="906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283" w:rsidRDefault="00945283">
      <w:pPr>
        <w:rPr>
          <w:rFonts w:hint="eastAsia"/>
        </w:rPr>
      </w:pPr>
      <w:r>
        <w:separator/>
      </w:r>
    </w:p>
  </w:endnote>
  <w:endnote w:type="continuationSeparator" w:id="0">
    <w:p w:rsidR="00945283" w:rsidRDefault="009452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283" w:rsidRDefault="009452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5283" w:rsidRDefault="009452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090D"/>
    <w:rsid w:val="0070090D"/>
    <w:rsid w:val="00766DB6"/>
    <w:rsid w:val="009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73406-8B07-46CB-A6A1-8DE9BC6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linkTo_UnCryptMailto('jxfiql7zkxmXarykl:xaj+os+rx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3419</Words>
  <Characters>1950</Characters>
  <Application>Microsoft Office Word</Application>
  <DocSecurity>0</DocSecurity>
  <Lines>16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Дубенська міська рада</cp:lastModifiedBy>
  <cp:revision>2</cp:revision>
  <dcterms:created xsi:type="dcterms:W3CDTF">2023-04-27T10:36:00Z</dcterms:created>
  <dcterms:modified xsi:type="dcterms:W3CDTF">2023-04-27T10:36:00Z</dcterms:modified>
</cp:coreProperties>
</file>