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707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-259232</wp:posOffset>
            </wp:positionH>
            <wp:positionV relativeFrom="paragraph">
              <wp:posOffset>356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07-21</w:t>
      </w:r>
    </w:p>
    <w:p w:rsidR="00890707" w:rsidRDefault="00890707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0707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890707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відомостей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особу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містяться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Єдиному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формувань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числі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установчих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особи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890707" w:rsidRDefault="00890707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0707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890707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89070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890707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890707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890707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25.12.2015 № 1133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№ 368/5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за № 367/20680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заявника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може</w:t>
            </w:r>
            <w:proofErr w:type="spellEnd"/>
            <w:r>
              <w:rPr>
                <w:lang w:val="ru-RU"/>
              </w:rPr>
              <w:t xml:space="preserve"> бути: </w:t>
            </w:r>
            <w:proofErr w:type="spellStart"/>
            <w:r>
              <w:rPr>
                <w:lang w:val="ru-RU"/>
              </w:rPr>
              <w:t>уповноважений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особи; </w:t>
            </w:r>
            <w:proofErr w:type="spellStart"/>
            <w:r>
              <w:rPr>
                <w:lang w:val="ru-RU"/>
              </w:rPr>
              <w:t>спадкоємець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правонаступник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обмеженою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відповідальністю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додатковою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відповідальністю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товариство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ними особа –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заяви про </w:t>
            </w:r>
            <w:proofErr w:type="spellStart"/>
            <w:r>
              <w:rPr>
                <w:lang w:val="ru-RU"/>
              </w:rPr>
              <w:t>вступ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 в порядку </w:t>
            </w:r>
            <w:proofErr w:type="spellStart"/>
            <w:r>
              <w:rPr>
                <w:lang w:val="ru-RU"/>
              </w:rPr>
              <w:t>спадкування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правонаступництва</w:t>
            </w:r>
            <w:proofErr w:type="spellEnd"/>
            <w:r>
              <w:rPr>
                <w:lang w:val="ru-RU"/>
              </w:rPr>
              <w:t xml:space="preserve">); </w:t>
            </w:r>
            <w:proofErr w:type="spellStart"/>
            <w:r>
              <w:rPr>
                <w:lang w:val="ru-RU"/>
              </w:rPr>
              <w:t>учасник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виходить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спадкоємець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правонаступник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ними особа –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заяви про </w:t>
            </w:r>
            <w:proofErr w:type="spellStart"/>
            <w:r>
              <w:rPr>
                <w:lang w:val="ru-RU"/>
              </w:rPr>
              <w:t>вихід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; особа, яка </w:t>
            </w:r>
            <w:proofErr w:type="spellStart"/>
            <w:r>
              <w:rPr>
                <w:lang w:val="ru-RU"/>
              </w:rPr>
              <w:t>набула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частину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частки</w:t>
            </w:r>
            <w:proofErr w:type="spellEnd"/>
            <w:r>
              <w:rPr>
                <w:lang w:val="ru-RU"/>
              </w:rPr>
              <w:t xml:space="preserve">) у статутному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, особа, яка </w:t>
            </w:r>
            <w:proofErr w:type="spellStart"/>
            <w:r>
              <w:rPr>
                <w:lang w:val="ru-RU"/>
              </w:rPr>
              <w:t>відчужила</w:t>
            </w:r>
            <w:proofErr w:type="spellEnd"/>
            <w:r>
              <w:rPr>
                <w:lang w:val="ru-RU"/>
              </w:rPr>
              <w:t xml:space="preserve"> (передала)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ними особа –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акта </w:t>
            </w:r>
            <w:proofErr w:type="spellStart"/>
            <w:r>
              <w:rPr>
                <w:lang w:val="ru-RU"/>
              </w:rPr>
              <w:t>приймання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частки</w:t>
            </w:r>
            <w:proofErr w:type="spellEnd"/>
            <w:r>
              <w:rPr>
                <w:lang w:val="ru-RU"/>
              </w:rPr>
              <w:t xml:space="preserve">) у статутному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позивач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ним особа –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судового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набрало </w:t>
            </w:r>
            <w:proofErr w:type="spellStart"/>
            <w:r>
              <w:rPr>
                <w:lang w:val="ru-RU"/>
              </w:rPr>
              <w:t>законної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сили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наслідком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Єдиний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заборону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вчинення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установчих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статутного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розміри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статутному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капіталі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зазначатися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прохання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спрощеної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неприбуткових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*;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вносяться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кінцевих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бенефіціарних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контролерів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кінцевих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бенефіціарних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контролерів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призначенням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обранням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таким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керівником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передачу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договором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обмеженою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додатковою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перебуває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статусі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Сіті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стимулювання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цифрової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передало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судового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),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входженням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установчий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установчому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прийнятті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передавального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розподільчого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балансу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правонаступником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зареєстрована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справжність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підпису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перехід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передачу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статутному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складеному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капіталі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пайовому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фонді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примусове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виключення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ксерокопія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смерть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безвісно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відсутньою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формою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судового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-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нерезидент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оформлений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резидента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2.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комітет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сільського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селищного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3.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статутного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розміри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у статутному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капіталі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склад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документ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один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таких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: а)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зборів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статутного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розмірів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б)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зборів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виключення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в)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г)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ґ) акт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приймання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у статутному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капіталі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д)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набрало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статутного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розмірів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у такому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е)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набрало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стягнення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витребування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відповідача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частки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у статутному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капіталі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є) структура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 формою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ж)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судового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особа – нерезидент; з)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оформлений без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резидента.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законного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органу, органу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); 3)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4)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обрання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призначенням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обранням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заяви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таким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керівником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).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**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особу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благодійної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особою,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справляється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0,3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мінімуму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виписки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товариству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учасникам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збільшується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добуток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0,01 5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мінімуму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таких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благодійну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справляється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0,1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мінімуму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– 75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проводитися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скорочені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строки,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передбаченого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абзацом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першим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третьої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4 Закону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скорочені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строки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проводиться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плати: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подвійному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шести годин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п’ятикратному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годин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плата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скорочені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строки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справляється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мінімуму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законом на 01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календарного року,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округлюється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найближчих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10 гривень.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справляється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особу, у тому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пов’язаних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приведенням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законами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строк,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визначений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законами.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законами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строк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них,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справляється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внесенні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у строк,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визначений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законами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890707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нотаріусом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посвідчувального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напису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ним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нотаріальних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першим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нотаріального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наслідок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пов’язується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настанням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обставини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обставини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у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обтяжень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рухомого</w:t>
            </w:r>
            <w:proofErr w:type="spellEnd"/>
            <w:r>
              <w:rPr>
                <w:lang w:val="ru-RU"/>
              </w:rPr>
              <w:t xml:space="preserve"> майна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обтяження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корпоративних</w:t>
            </w:r>
            <w:proofErr w:type="spellEnd"/>
            <w:r>
              <w:rPr>
                <w:lang w:val="ru-RU"/>
              </w:rPr>
              <w:t xml:space="preserve"> прав – у </w:t>
            </w:r>
            <w:proofErr w:type="spellStart"/>
            <w:r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юридичну</w:t>
            </w:r>
            <w:proofErr w:type="spellEnd"/>
            <w:r>
              <w:rPr>
                <w:lang w:val="ru-RU"/>
              </w:rPr>
              <w:t xml:space="preserve"> особу,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, у </w:t>
            </w:r>
            <w:proofErr w:type="spellStart"/>
            <w:r>
              <w:rPr>
                <w:lang w:val="ru-RU"/>
              </w:rPr>
              <w:t>зв’язку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засновника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>) у статутному (</w:t>
            </w:r>
            <w:proofErr w:type="spellStart"/>
            <w:r>
              <w:rPr>
                <w:lang w:val="ru-RU"/>
              </w:rPr>
              <w:t>складеному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пайовому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фонді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в </w:t>
            </w:r>
            <w:proofErr w:type="spellStart"/>
            <w:r>
              <w:rPr>
                <w:lang w:val="ru-RU"/>
              </w:rPr>
              <w:t>результаті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відчуження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таким </w:t>
            </w:r>
            <w:proofErr w:type="spellStart"/>
            <w:r>
              <w:rPr>
                <w:lang w:val="ru-RU"/>
              </w:rPr>
              <w:t>засновником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); 6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юридичну</w:t>
            </w:r>
            <w:proofErr w:type="spellEnd"/>
            <w:r>
              <w:rPr>
                <w:lang w:val="ru-RU"/>
              </w:rPr>
              <w:t xml:space="preserve"> особу,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, у </w:t>
            </w:r>
            <w:proofErr w:type="spellStart"/>
            <w:r>
              <w:rPr>
                <w:lang w:val="ru-RU"/>
              </w:rPr>
              <w:t>зв’язку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засновника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>) у статутному (</w:t>
            </w:r>
            <w:proofErr w:type="spellStart"/>
            <w:r>
              <w:rPr>
                <w:lang w:val="ru-RU"/>
              </w:rPr>
              <w:t>складеному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пайовому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фонді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в </w:t>
            </w:r>
            <w:proofErr w:type="spellStart"/>
            <w:r>
              <w:rPr>
                <w:lang w:val="ru-RU"/>
              </w:rPr>
              <w:t>результаті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відчуження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таким </w:t>
            </w:r>
            <w:proofErr w:type="spellStart"/>
            <w:r>
              <w:rPr>
                <w:lang w:val="ru-RU"/>
              </w:rPr>
              <w:t>засновником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), подано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засновника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який</w:t>
            </w:r>
            <w:proofErr w:type="spellEnd"/>
            <w:r>
              <w:rPr>
                <w:lang w:val="ru-RU"/>
              </w:rPr>
              <w:t xml:space="preserve"> на момент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заяви внесений до </w:t>
            </w:r>
            <w:proofErr w:type="spellStart"/>
            <w:r>
              <w:rPr>
                <w:lang w:val="ru-RU"/>
              </w:rPr>
              <w:t>Єдиного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боржників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таким </w:t>
            </w:r>
            <w:proofErr w:type="spellStart"/>
            <w:r>
              <w:rPr>
                <w:lang w:val="ru-RU"/>
              </w:rPr>
              <w:t>засновником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) є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орган, орган </w:t>
            </w:r>
            <w:proofErr w:type="spellStart"/>
            <w:r>
              <w:rPr>
                <w:lang w:val="ru-RU"/>
              </w:rPr>
              <w:t>місцевого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самоврядування</w:t>
            </w:r>
            <w:proofErr w:type="spellEnd"/>
            <w:r>
              <w:rPr>
                <w:lang w:val="ru-RU"/>
              </w:rPr>
              <w:t xml:space="preserve">);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подано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Єдиного</w:t>
            </w:r>
            <w:proofErr w:type="spellEnd"/>
            <w:r>
              <w:rPr>
                <w:lang w:val="ru-RU"/>
              </w:rPr>
              <w:t xml:space="preserve"> державного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пов’язаних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проведено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в </w:t>
            </w:r>
            <w:proofErr w:type="spellStart"/>
            <w:r>
              <w:rPr>
                <w:lang w:val="ru-RU"/>
              </w:rPr>
              <w:t>результаті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ліквідації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подано </w:t>
            </w:r>
            <w:proofErr w:type="spellStart"/>
            <w:r>
              <w:rPr>
                <w:lang w:val="ru-RU"/>
              </w:rPr>
              <w:t>заяву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Єдиного</w:t>
            </w:r>
            <w:proofErr w:type="spellEnd"/>
            <w:r>
              <w:rPr>
                <w:lang w:val="ru-RU"/>
              </w:rPr>
              <w:t xml:space="preserve"> державного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пов’язаних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зміною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r>
              <w:rPr>
                <w:lang w:val="ru-RU"/>
              </w:rPr>
              <w:t>засновників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міститься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запис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визнання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</w:t>
            </w:r>
            <w:proofErr w:type="spellStart"/>
            <w:r>
              <w:rPr>
                <w:lang w:val="ru-RU"/>
              </w:rPr>
              <w:t>банкрутом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відкриття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ліквідаційної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процедури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міститься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запис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повністю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недійсними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ними органу, </w:t>
            </w:r>
            <w:proofErr w:type="spellStart"/>
            <w:r>
              <w:rPr>
                <w:lang w:val="ru-RU"/>
              </w:rPr>
              <w:t>визнання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повністю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частково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недійсними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установчих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недійсними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зміни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установчих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порушенням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встановленого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законодавством</w:t>
            </w:r>
            <w:proofErr w:type="spellEnd"/>
            <w:r>
              <w:rPr>
                <w:lang w:val="ru-RU"/>
              </w:rPr>
              <w:t xml:space="preserve"> строку для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кінцевого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бенефіціарного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особи; статут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змінами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прийнятими</w:t>
            </w:r>
            <w:proofErr w:type="spellEnd"/>
            <w:r>
              <w:rPr>
                <w:lang w:val="ru-RU"/>
              </w:rPr>
              <w:t xml:space="preserve"> без </w:t>
            </w:r>
            <w:proofErr w:type="spellStart"/>
            <w:r>
              <w:rPr>
                <w:lang w:val="ru-RU"/>
              </w:rPr>
              <w:t>врахування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голосів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припадають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частку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померлого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  <w:p w:rsidR="00890707" w:rsidRDefault="00890707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відображаються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виписці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установчий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виготовлений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установчого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документа;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</w:tr>
      <w:tr w:rsidR="00890707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890707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(результату)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890707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установчий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особи)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кодом доступу.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печатки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печатки,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документа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890707" w:rsidRDefault="00000000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*До </w:t>
      </w:r>
      <w:proofErr w:type="spellStart"/>
      <w:r>
        <w:rPr>
          <w:lang w:val="ru-RU"/>
        </w:rPr>
        <w:t>належного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налагодження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державним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реєстром</w:t>
      </w:r>
      <w:proofErr w:type="spellEnd"/>
      <w:r>
        <w:rPr>
          <w:lang w:val="ru-RU"/>
        </w:rPr>
        <w:t xml:space="preserve"> та Державною </w:t>
      </w:r>
      <w:proofErr w:type="spellStart"/>
      <w:r>
        <w:rPr>
          <w:lang w:val="ru-RU"/>
        </w:rPr>
        <w:t>податковою</w:t>
      </w:r>
      <w:proofErr w:type="spellEnd"/>
      <w:r>
        <w:rPr>
          <w:lang w:val="ru-RU"/>
        </w:rPr>
        <w:t xml:space="preserve"> службою, 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виявлення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державної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бажання</w:t>
      </w:r>
      <w:proofErr w:type="spellEnd"/>
      <w:r>
        <w:rPr>
          <w:lang w:val="ru-RU"/>
        </w:rPr>
        <w:t xml:space="preserve"> обрати </w:t>
      </w:r>
      <w:proofErr w:type="spellStart"/>
      <w:r>
        <w:rPr>
          <w:lang w:val="ru-RU"/>
        </w:rPr>
        <w:t>спрощену</w:t>
      </w:r>
      <w:proofErr w:type="spellEnd"/>
      <w:r>
        <w:rPr>
          <w:lang w:val="ru-RU"/>
        </w:rPr>
        <w:t xml:space="preserve"> систему </w:t>
      </w:r>
      <w:proofErr w:type="spellStart"/>
      <w:r>
        <w:rPr>
          <w:lang w:val="ru-RU"/>
        </w:rPr>
        <w:t>оподаткування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зареєструватися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додану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включитися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Реєстру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неприбуткових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установ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організацій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пакеті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окрему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реєстраційну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заяву</w:t>
      </w:r>
      <w:proofErr w:type="spellEnd"/>
      <w:r>
        <w:rPr>
          <w:lang w:val="ru-RU"/>
        </w:rPr>
        <w:t>;</w:t>
      </w:r>
    </w:p>
    <w:p w:rsidR="00890707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890707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78E" w:rsidRDefault="00B6678E">
      <w:pPr>
        <w:rPr>
          <w:rFonts w:hint="eastAsia"/>
        </w:rPr>
      </w:pPr>
      <w:r>
        <w:separator/>
      </w:r>
    </w:p>
  </w:endnote>
  <w:endnote w:type="continuationSeparator" w:id="0">
    <w:p w:rsidR="00B6678E" w:rsidRDefault="00B667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78E" w:rsidRDefault="00B667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678E" w:rsidRDefault="00B667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707"/>
    <w:rsid w:val="00591461"/>
    <w:rsid w:val="00890707"/>
    <w:rsid w:val="00B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13307</Words>
  <Characters>7586</Characters>
  <Application>Microsoft Office Word</Application>
  <DocSecurity>0</DocSecurity>
  <Lines>63</Lines>
  <Paragraphs>41</Paragraphs>
  <ScaleCrop>false</ScaleCrop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2023-04-27T10:33:00Z</dcterms:created>
  <dcterms:modified xsi:type="dcterms:W3CDTF">2023-04-27T10:33:00Z</dcterms:modified>
</cp:coreProperties>
</file>